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2A5F5" w14:textId="77777777" w:rsidR="007811EB" w:rsidRDefault="007811EB">
      <w:bookmarkStart w:id="0" w:name="_GoBack"/>
      <w:bookmarkEnd w:id="0"/>
    </w:p>
    <w:p w14:paraId="47F57CE6" w14:textId="77777777" w:rsidR="007811EB" w:rsidRDefault="00EF47A9">
      <w:pPr>
        <w:jc w:val="center"/>
        <w:rPr>
          <w:b/>
        </w:rPr>
      </w:pPr>
      <w:r>
        <w:rPr>
          <w:b/>
          <w:sz w:val="40"/>
          <w:szCs w:val="40"/>
        </w:rPr>
        <w:t xml:space="preserve">A AVIANCA HOLDINGS AVANÇA NA EXECUÇÃO DO PLANO AVIANCA 2021 COM O DESINVESTIMENTO EM NEGÓCIOS NÃO ESTRATÉGICOS E A VENDA DE 24 AVIÕES </w:t>
      </w:r>
    </w:p>
    <w:p w14:paraId="2FC555AD" w14:textId="77777777" w:rsidR="007811EB" w:rsidRDefault="00EF47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1" w:name="_gjdgxs" w:colFirst="0" w:colLast="0"/>
      <w:bookmarkEnd w:id="1"/>
      <w:r>
        <w:rPr>
          <w:b/>
          <w:color w:val="000000"/>
        </w:rPr>
        <w:t xml:space="preserve">Nos meses de abril, maio e junho, os passageiros transportados tiveram um aumento de 2,7% em relação ao mesmo período de </w:t>
      </w:r>
      <w:r>
        <w:rPr>
          <w:b/>
          <w:color w:val="000000"/>
        </w:rPr>
        <w:t>2018 (mantendo um fator de ocupação de 81,8%). No entanto, as margens operacionais foram estreitas, com um EBITDA (excluindo encargos não recorrentes) de US$ 116,4 milhões e uma margem de 10,5%.</w:t>
      </w:r>
    </w:p>
    <w:p w14:paraId="4074AAAF" w14:textId="77777777" w:rsidR="007811EB" w:rsidRDefault="00EF47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A nova administração, com o apoio do renovado Conselho Admini</w:t>
      </w:r>
      <w:r>
        <w:rPr>
          <w:b/>
          <w:color w:val="000000"/>
        </w:rPr>
        <w:t>strativo, avança rapidamente na execução do plano Avianca 2021 para recuperar margens -incluindo a otimização operacional, com o cancelamento de 25 rotas não rentáveis- e o novo perfil de sua dívida.</w:t>
      </w:r>
    </w:p>
    <w:p w14:paraId="56C4D76F" w14:textId="77777777" w:rsidR="007811EB" w:rsidRDefault="00EF47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Os aliados estratégicos da Avianca Holdings, United Airl</w:t>
      </w:r>
      <w:r>
        <w:rPr>
          <w:b/>
          <w:color w:val="000000"/>
        </w:rPr>
        <w:t xml:space="preserve">ines e </w:t>
      </w:r>
      <w:proofErr w:type="spellStart"/>
      <w:r>
        <w:rPr>
          <w:b/>
          <w:color w:val="000000"/>
        </w:rPr>
        <w:t>Kingsland</w:t>
      </w:r>
      <w:proofErr w:type="spellEnd"/>
      <w:r>
        <w:rPr>
          <w:b/>
          <w:color w:val="000000"/>
        </w:rPr>
        <w:t xml:space="preserve"> Holdings, reiteraram a proposta de financiamento de até US$ 250 milhões.</w:t>
      </w:r>
    </w:p>
    <w:p w14:paraId="5889B1B0" w14:textId="77777777" w:rsidR="007811EB" w:rsidRDefault="00EF47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Além disso, ontem foi anunciado o “Exchange </w:t>
      </w:r>
      <w:proofErr w:type="spellStart"/>
      <w:r>
        <w:rPr>
          <w:b/>
          <w:color w:val="000000"/>
        </w:rPr>
        <w:t>offer</w:t>
      </w:r>
      <w:proofErr w:type="spellEnd"/>
      <w:r>
        <w:rPr>
          <w:b/>
          <w:color w:val="000000"/>
        </w:rPr>
        <w:t>” para a troca de US$ 550 milhões em bônus atuais com vencimento para 2020, por títulos garantidos que serão automati</w:t>
      </w:r>
      <w:r>
        <w:rPr>
          <w:b/>
          <w:color w:val="000000"/>
        </w:rPr>
        <w:t xml:space="preserve">camente prorrogados por um prazo de três anos, após o fechamento do financiamento com a United Airlines e </w:t>
      </w:r>
      <w:proofErr w:type="spellStart"/>
      <w:r>
        <w:rPr>
          <w:b/>
          <w:color w:val="000000"/>
        </w:rPr>
        <w:t>Kingsland</w:t>
      </w:r>
      <w:proofErr w:type="spellEnd"/>
      <w:r>
        <w:rPr>
          <w:b/>
          <w:color w:val="000000"/>
        </w:rPr>
        <w:t xml:space="preserve"> Holdings.</w:t>
      </w:r>
    </w:p>
    <w:p w14:paraId="35728A26" w14:textId="77777777" w:rsidR="007811EB" w:rsidRDefault="007811EB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b/>
          <w:color w:val="000000"/>
        </w:rPr>
      </w:pPr>
    </w:p>
    <w:p w14:paraId="062AAC26" w14:textId="77777777" w:rsidR="007811EB" w:rsidRDefault="00EF47A9">
      <w:pPr>
        <w:jc w:val="both"/>
      </w:pPr>
      <w:r>
        <w:rPr>
          <w:b/>
        </w:rPr>
        <w:t xml:space="preserve">Bogotá, 15 de agosto de 2019. </w:t>
      </w:r>
      <w:r>
        <w:t>Durante o segundo trimestre de 2019, a Avianca Holdings acelerou a estratégia de transformação “Avi</w:t>
      </w:r>
      <w:r>
        <w:t>anca 2021”, a qual procura fortalecer a competitividade da companhia ao implementar estritos ajuste financeiros, otimizações operacionais, simplificação de frota e vendas de ativos não estratégicos.</w:t>
      </w:r>
    </w:p>
    <w:p w14:paraId="2E1AE734" w14:textId="77777777" w:rsidR="007811EB" w:rsidRDefault="00EF47A9">
      <w:pPr>
        <w:jc w:val="both"/>
      </w:pPr>
      <w:proofErr w:type="spellStart"/>
      <w:r>
        <w:t>Adrián</w:t>
      </w:r>
      <w:proofErr w:type="spellEnd"/>
      <w:r>
        <w:t xml:space="preserve"> </w:t>
      </w:r>
      <w:proofErr w:type="spellStart"/>
      <w:r>
        <w:t>Neuhauser</w:t>
      </w:r>
      <w:proofErr w:type="spellEnd"/>
      <w:r>
        <w:t xml:space="preserve">, CFO de Avianca Holdings, disse: </w:t>
      </w:r>
      <w:r>
        <w:rPr>
          <w:i/>
        </w:rPr>
        <w:t xml:space="preserve">“Somos </w:t>
      </w:r>
      <w:r>
        <w:rPr>
          <w:i/>
        </w:rPr>
        <w:t>uma administração entrada que tem como prioridade melhorar os números que recebemos e fortalecer a confiança de nossos clientes e do mercado. Concentramos os esforços no novo perfil da dívida e consolidar nossa estrutura de capital, enquanto ajustamos a op</w:t>
      </w:r>
      <w:r>
        <w:rPr>
          <w:i/>
        </w:rPr>
        <w:t>eração e melhoramos a entrega do serviço. Nas semanas em que estamos na companhia redesenhamos a rede, começando pelo cancelamento de 25 rotas não rentáveis; vendemos 24 aviões de nossa frota e continuamos com o desinvestimento em negócios não estratégicos</w:t>
      </w:r>
      <w:r>
        <w:rPr>
          <w:i/>
        </w:rPr>
        <w:t xml:space="preserve">, como </w:t>
      </w:r>
      <w:proofErr w:type="spellStart"/>
      <w:r>
        <w:rPr>
          <w:i/>
        </w:rPr>
        <w:t>Getcom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Sansa</w:t>
      </w:r>
      <w:proofErr w:type="spellEnd"/>
      <w:r>
        <w:rPr>
          <w:i/>
        </w:rPr>
        <w:t xml:space="preserve"> e La </w:t>
      </w:r>
      <w:proofErr w:type="spellStart"/>
      <w:r>
        <w:rPr>
          <w:i/>
        </w:rPr>
        <w:t>Costeña</w:t>
      </w:r>
      <w:proofErr w:type="spellEnd"/>
      <w:r>
        <w:rPr>
          <w:i/>
        </w:rPr>
        <w:t>, vendas que representaram a saída de 15 aviões adicionais”.</w:t>
      </w:r>
      <w:r>
        <w:t xml:space="preserve"> </w:t>
      </w:r>
    </w:p>
    <w:p w14:paraId="59246E9C" w14:textId="77777777" w:rsidR="007811EB" w:rsidRDefault="00EF47A9">
      <w:pPr>
        <w:jc w:val="both"/>
      </w:pPr>
      <w:r>
        <w:t xml:space="preserve">A redefinição do norte estratégico da Avianca Holdings é indispensável dado o crescimento acelerado da organização nos últimos anos, aliado a um desafiante meio </w:t>
      </w:r>
      <w:r>
        <w:t>macroeconômico e setorial, marcado pelo aumento nos preços do combustível, a desvalorização das moedas regionais, bem como a contração da demanda. Isto faz com que as margens operativas se mantivessem estreitas durante o segundo trimestre, com um EBIT (exc</w:t>
      </w:r>
      <w:r>
        <w:t xml:space="preserve">luindo encargos não recorrentes) de </w:t>
      </w:r>
      <w:r>
        <w:rPr>
          <w:b/>
        </w:rPr>
        <w:t>- US$ 36</w:t>
      </w:r>
      <w:r>
        <w:t xml:space="preserve"> milhões e uma margem de </w:t>
      </w:r>
      <w:r>
        <w:rPr>
          <w:b/>
        </w:rPr>
        <w:t>-3,2</w:t>
      </w:r>
      <w:proofErr w:type="gramStart"/>
      <w:r>
        <w:rPr>
          <w:b/>
        </w:rPr>
        <w:t>%</w:t>
      </w:r>
      <w:r>
        <w:t xml:space="preserve"> ;</w:t>
      </w:r>
      <w:proofErr w:type="gramEnd"/>
      <w:r>
        <w:t xml:space="preserve"> e um EBITDA (excluindo encargos não recorrentes) de </w:t>
      </w:r>
      <w:r>
        <w:rPr>
          <w:b/>
        </w:rPr>
        <w:t>US$ 116,4</w:t>
      </w:r>
      <w:r>
        <w:t xml:space="preserve"> milhões, com uma margem de </w:t>
      </w:r>
      <w:r>
        <w:rPr>
          <w:b/>
        </w:rPr>
        <w:t>10,5%</w:t>
      </w:r>
      <w:r>
        <w:t xml:space="preserve">  .</w:t>
      </w:r>
    </w:p>
    <w:p w14:paraId="65B443C4" w14:textId="77777777" w:rsidR="007811EB" w:rsidRDefault="00EF47A9">
      <w:pPr>
        <w:jc w:val="both"/>
      </w:pPr>
      <w:r>
        <w:t xml:space="preserve">No âmbito da entrega de resultados, o CEO da Avianca Holdings, </w:t>
      </w:r>
      <w:proofErr w:type="spellStart"/>
      <w:r>
        <w:t>Anko</w:t>
      </w:r>
      <w:proofErr w:type="spellEnd"/>
      <w:r>
        <w:t xml:space="preserve"> van der </w:t>
      </w:r>
      <w:proofErr w:type="spellStart"/>
      <w:r>
        <w:t>Werff</w:t>
      </w:r>
      <w:proofErr w:type="spellEnd"/>
      <w:r>
        <w:t xml:space="preserve">, e o CFO, </w:t>
      </w:r>
      <w:proofErr w:type="spellStart"/>
      <w:r>
        <w:t>Adrián</w:t>
      </w:r>
      <w:proofErr w:type="spellEnd"/>
      <w:r>
        <w:t xml:space="preserve"> </w:t>
      </w:r>
      <w:proofErr w:type="spellStart"/>
      <w:r>
        <w:t>Neuhauser</w:t>
      </w:r>
      <w:proofErr w:type="spellEnd"/>
      <w:r>
        <w:t xml:space="preserve">, apresentaram os principais avanços da estratégia “Avianca 2021”. </w:t>
      </w:r>
    </w:p>
    <w:p w14:paraId="4F98A206" w14:textId="77777777" w:rsidR="007811EB" w:rsidRDefault="007811EB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b/>
          <w:color w:val="000000"/>
          <w:sz w:val="26"/>
          <w:szCs w:val="26"/>
        </w:rPr>
      </w:pPr>
    </w:p>
    <w:p w14:paraId="2D8CA8A2" w14:textId="77777777" w:rsidR="007811EB" w:rsidRDefault="007811EB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b/>
          <w:color w:val="000000"/>
          <w:sz w:val="26"/>
          <w:szCs w:val="26"/>
        </w:rPr>
      </w:pPr>
    </w:p>
    <w:p w14:paraId="082E0A46" w14:textId="77777777" w:rsidR="007811EB" w:rsidRDefault="007811EB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b/>
          <w:color w:val="000000"/>
          <w:sz w:val="26"/>
          <w:szCs w:val="26"/>
        </w:rPr>
      </w:pPr>
    </w:p>
    <w:p w14:paraId="694CD47A" w14:textId="77777777" w:rsidR="007811EB" w:rsidRDefault="00EF47A9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b/>
          <w:color w:val="000000"/>
        </w:rPr>
      </w:pPr>
      <w:r>
        <w:rPr>
          <w:b/>
          <w:color w:val="000000"/>
          <w:sz w:val="26"/>
          <w:szCs w:val="26"/>
        </w:rPr>
        <w:lastRenderedPageBreak/>
        <w:t>Resultados Financeiros 2Q2019</w:t>
      </w:r>
    </w:p>
    <w:p w14:paraId="43803D3D" w14:textId="77777777" w:rsidR="007811EB" w:rsidRDefault="00EF47A9">
      <w:pPr>
        <w:spacing w:after="0"/>
        <w:jc w:val="both"/>
      </w:pPr>
      <w:r>
        <w:t>As cifras mais relevantes do primeiro trimestre</w:t>
      </w:r>
      <w:r>
        <w:t xml:space="preserve"> de 2019 estão listados abaixo: </w:t>
      </w:r>
    </w:p>
    <w:p w14:paraId="29BA1CBC" w14:textId="77777777" w:rsidR="007811EB" w:rsidRDefault="00EF47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A companhia transportou </w:t>
      </w:r>
      <w:r>
        <w:rPr>
          <w:b/>
          <w:color w:val="000000"/>
        </w:rPr>
        <w:t>7,55 milhões de passageiros</w:t>
      </w:r>
      <w:r>
        <w:rPr>
          <w:color w:val="000000"/>
        </w:rPr>
        <w:t xml:space="preserve"> durante o segundo trimestre, crescendo </w:t>
      </w:r>
      <w:r>
        <w:rPr>
          <w:b/>
          <w:color w:val="000000"/>
        </w:rPr>
        <w:t>2,7%</w:t>
      </w:r>
      <w:r>
        <w:rPr>
          <w:color w:val="000000"/>
        </w:rPr>
        <w:t xml:space="preserve"> em relação ao mesmo período de 2018. Do mesmo modo, consolidou um fator de ocupação de </w:t>
      </w:r>
      <w:r>
        <w:rPr>
          <w:b/>
          <w:color w:val="000000"/>
        </w:rPr>
        <w:t>81,8%.</w:t>
      </w:r>
      <w:r>
        <w:rPr>
          <w:color w:val="000000"/>
        </w:rPr>
        <w:t xml:space="preserve"> </w:t>
      </w:r>
    </w:p>
    <w:p w14:paraId="63ED2E63" w14:textId="77777777" w:rsidR="007811EB" w:rsidRDefault="00EF47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Durante este trimestre, a Avianca aumentou a sua capacidade medida em </w:t>
      </w:r>
      <w:proofErr w:type="spellStart"/>
      <w:r>
        <w:rPr>
          <w:b/>
          <w:color w:val="000000"/>
        </w:rPr>
        <w:t>ASK´s</w:t>
      </w:r>
      <w:proofErr w:type="spellEnd"/>
      <w:r>
        <w:rPr>
          <w:color w:val="000000"/>
        </w:rPr>
        <w:t xml:space="preserve"> (cadeiras disponíveis por quilômetro voado) em </w:t>
      </w:r>
      <w:r>
        <w:rPr>
          <w:b/>
          <w:color w:val="000000"/>
        </w:rPr>
        <w:t>4,7%.</w:t>
      </w:r>
      <w:r>
        <w:rPr>
          <w:color w:val="000000"/>
        </w:rPr>
        <w:t xml:space="preserve"> Por outro lado, os viajantes pa</w:t>
      </w:r>
      <w:r>
        <w:rPr>
          <w:color w:val="000000"/>
        </w:rPr>
        <w:t xml:space="preserve">gos por quilômetro voado </w:t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RPK´s</w:t>
      </w:r>
      <w:proofErr w:type="spellEnd"/>
      <w:r>
        <w:rPr>
          <w:b/>
          <w:color w:val="000000"/>
        </w:rPr>
        <w:t xml:space="preserve">) </w:t>
      </w:r>
      <w:r>
        <w:rPr>
          <w:color w:val="000000"/>
        </w:rPr>
        <w:t xml:space="preserve">aumentaram </w:t>
      </w:r>
      <w:r>
        <w:rPr>
          <w:b/>
          <w:color w:val="000000"/>
        </w:rPr>
        <w:t>4,1%</w:t>
      </w:r>
      <w:r>
        <w:rPr>
          <w:color w:val="000000"/>
        </w:rPr>
        <w:t xml:space="preserve">. </w:t>
      </w:r>
    </w:p>
    <w:p w14:paraId="1D1980DB" w14:textId="77777777" w:rsidR="007811EB" w:rsidRDefault="00EF47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Finalmente, o custo por cadeira disponível por quilômetro voado (CASK-</w:t>
      </w:r>
      <w:proofErr w:type="spellStart"/>
      <w:r>
        <w:rPr>
          <w:color w:val="000000"/>
        </w:rPr>
        <w:t>ex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fuel</w:t>
      </w:r>
      <w:proofErr w:type="spellEnd"/>
      <w:r>
        <w:rPr>
          <w:color w:val="000000"/>
        </w:rPr>
        <w:t>), contraiu</w:t>
      </w:r>
      <w:r>
        <w:rPr>
          <w:b/>
          <w:color w:val="000000"/>
        </w:rPr>
        <w:t xml:space="preserve"> 6,7</w:t>
      </w:r>
      <w:r>
        <w:rPr>
          <w:color w:val="000000"/>
        </w:rPr>
        <w:t xml:space="preserve">%, ajustado, chegando a </w:t>
      </w:r>
      <w:r>
        <w:rPr>
          <w:b/>
          <w:color w:val="000000"/>
        </w:rPr>
        <w:t>US$ 6,1 centavos</w:t>
      </w:r>
      <w:r>
        <w:rPr>
          <w:color w:val="000000"/>
        </w:rPr>
        <w:t xml:space="preserve"> no período. </w:t>
      </w:r>
    </w:p>
    <w:p w14:paraId="767112D1" w14:textId="77777777" w:rsidR="007811EB" w:rsidRDefault="00EF47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As receitas operacionais ficaram em </w:t>
      </w:r>
      <w:r>
        <w:rPr>
          <w:b/>
          <w:color w:val="000000"/>
        </w:rPr>
        <w:t>US$ 1,1 bilhão</w:t>
      </w:r>
      <w:r>
        <w:rPr>
          <w:color w:val="000000"/>
        </w:rPr>
        <w:t>, registr</w:t>
      </w:r>
      <w:r>
        <w:rPr>
          <w:color w:val="000000"/>
        </w:rPr>
        <w:t>ando uma diminuição de 6,9</w:t>
      </w:r>
      <w:r>
        <w:rPr>
          <w:b/>
          <w:color w:val="000000"/>
        </w:rPr>
        <w:t>%</w:t>
      </w:r>
      <w:r>
        <w:rPr>
          <w:color w:val="000000"/>
        </w:rPr>
        <w:t xml:space="preserve"> em relação ao primeiro trimestre de 2019. </w:t>
      </w:r>
    </w:p>
    <w:p w14:paraId="6AEBE425" w14:textId="77777777" w:rsidR="007811EB" w:rsidRDefault="00EF47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Yield</w:t>
      </w:r>
      <w:proofErr w:type="spellEnd"/>
      <w:r>
        <w:rPr>
          <w:color w:val="000000"/>
        </w:rPr>
        <w:t xml:space="preserve"> foi de </w:t>
      </w:r>
      <w:r>
        <w:rPr>
          <w:b/>
          <w:color w:val="000000"/>
        </w:rPr>
        <w:t>USD 8,4 centavos</w:t>
      </w:r>
      <w:r>
        <w:rPr>
          <w:color w:val="000000"/>
        </w:rPr>
        <w:t xml:space="preserve">, apresentando uma diminuição de </w:t>
      </w:r>
      <w:r>
        <w:rPr>
          <w:b/>
          <w:color w:val="000000"/>
        </w:rPr>
        <w:t xml:space="preserve">9,2%. </w:t>
      </w:r>
    </w:p>
    <w:p w14:paraId="769C41F8" w14:textId="77777777" w:rsidR="007811EB" w:rsidRDefault="00EF47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Foi registrado um EBIT de </w:t>
      </w:r>
      <w:r>
        <w:rPr>
          <w:b/>
          <w:color w:val="000000"/>
        </w:rPr>
        <w:t>- US$ 36</w:t>
      </w:r>
      <w:r>
        <w:rPr>
          <w:color w:val="000000"/>
        </w:rPr>
        <w:t xml:space="preserve"> milhões e um EBITDA de </w:t>
      </w:r>
      <w:r>
        <w:rPr>
          <w:b/>
          <w:color w:val="000000"/>
        </w:rPr>
        <w:t xml:space="preserve">US$ 116,4 milhões </w:t>
      </w:r>
      <w:r>
        <w:rPr>
          <w:color w:val="000000"/>
        </w:rPr>
        <w:t xml:space="preserve">(excluindo os encargos não </w:t>
      </w:r>
      <w:proofErr w:type="gramStart"/>
      <w:r>
        <w:rPr>
          <w:color w:val="000000"/>
        </w:rPr>
        <w:t>recorrentes)</w:t>
      </w:r>
      <w:r>
        <w:rPr>
          <w:b/>
          <w:color w:val="000000"/>
        </w:rPr>
        <w:t>*</w:t>
      </w:r>
      <w:proofErr w:type="gramEnd"/>
    </w:p>
    <w:p w14:paraId="639BC1E6" w14:textId="77777777" w:rsidR="007811EB" w:rsidRDefault="00EF47A9">
      <w:pPr>
        <w:jc w:val="both"/>
      </w:pPr>
      <w:r>
        <w:t xml:space="preserve">O CEO e Presidente da Avianca Holdings, </w:t>
      </w:r>
      <w:proofErr w:type="spellStart"/>
      <w:r>
        <w:t>Anko</w:t>
      </w:r>
      <w:proofErr w:type="spellEnd"/>
      <w:r>
        <w:t xml:space="preserve"> van der </w:t>
      </w:r>
      <w:proofErr w:type="spellStart"/>
      <w:r>
        <w:t>Werff</w:t>
      </w:r>
      <w:proofErr w:type="spellEnd"/>
      <w:r>
        <w:t xml:space="preserve">, reiterou: </w:t>
      </w:r>
      <w:r>
        <w:rPr>
          <w:i/>
        </w:rPr>
        <w:t>“Nossa prioridade é ter melhores resultados. Durante este trimestre tomamos decisões difíceis, mas estamos convencidos que são indispensáveis par</w:t>
      </w:r>
      <w:r>
        <w:rPr>
          <w:i/>
        </w:rPr>
        <w:t>a mudar o rumo da companhia, torná-la competitiva, rentável e com os melhores padrões de serviço. Mais importante ainda, as ações que tivemos nos posicionam para o sucesso futuro, que esperamos que se reflita nos resultados que se aproximam”.</w:t>
      </w:r>
      <w:r>
        <w:t xml:space="preserve"> </w:t>
      </w:r>
    </w:p>
    <w:p w14:paraId="696A89AA" w14:textId="77777777" w:rsidR="007811EB" w:rsidRDefault="00EF47A9">
      <w:pPr>
        <w:spacing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Novo perfil </w:t>
      </w:r>
      <w:r>
        <w:rPr>
          <w:b/>
          <w:sz w:val="26"/>
          <w:szCs w:val="26"/>
        </w:rPr>
        <w:t>de compromissos financeiros:</w:t>
      </w:r>
    </w:p>
    <w:p w14:paraId="37303B4A" w14:textId="77777777" w:rsidR="007811EB" w:rsidRDefault="00EF47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222222"/>
        </w:rPr>
      </w:pPr>
      <w:r>
        <w:rPr>
          <w:color w:val="222222"/>
        </w:rPr>
        <w:t>No segundo trimestre do ano, a companhia anunciou a sua decisão de adiar temporariamente o pagamento de certos arrendamentos e pagamentos de capital em alguns empréstimos, refletindo a maioria da dívida como dívida de curto pra</w:t>
      </w:r>
      <w:r>
        <w:rPr>
          <w:color w:val="222222"/>
        </w:rPr>
        <w:t xml:space="preserve">zo enquanto são renegociadas com os credores. As rodadas de conversas com aliados estratégicos continuam em andamento a fim de chegar a acordos sobre os termos e condições dos compromissos financeiros. </w:t>
      </w:r>
      <w:proofErr w:type="spellStart"/>
      <w:r>
        <w:rPr>
          <w:color w:val="222222"/>
        </w:rPr>
        <w:t>Neuhauser</w:t>
      </w:r>
      <w:proofErr w:type="spellEnd"/>
      <w:r>
        <w:rPr>
          <w:color w:val="222222"/>
        </w:rPr>
        <w:t xml:space="preserve"> afirmou que </w:t>
      </w:r>
      <w:r>
        <w:rPr>
          <w:i/>
          <w:color w:val="222222"/>
        </w:rPr>
        <w:t>“progressos significativos, sem dúvida a receptividade e o entendimento de nossos aliados facilitam as conversas e esperamos poder ter acordos detalhados a curto prazo”.</w:t>
      </w:r>
    </w:p>
    <w:p w14:paraId="505F5B60" w14:textId="77777777" w:rsidR="007811EB" w:rsidRDefault="007811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415560" w14:textId="77777777" w:rsidR="007811EB" w:rsidRDefault="00EF47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22222"/>
        </w:rPr>
      </w:pPr>
      <w:bookmarkStart w:id="2" w:name="_30j0zll" w:colFirst="0" w:colLast="0"/>
      <w:bookmarkEnd w:id="2"/>
      <w:r>
        <w:rPr>
          <w:color w:val="222222"/>
        </w:rPr>
        <w:t>Além disso, a Avianca Holdings iniciou o processo de trocas de notas sênior 8,375%, d</w:t>
      </w:r>
      <w:r>
        <w:rPr>
          <w:color w:val="222222"/>
        </w:rPr>
        <w:t xml:space="preserve">enominadas em dólares, com vencimento em maio de 2020, cujo fechamento de operação acontecerá no final do mês. A companhia está em dia no pagamento de suas obrigações de juros e não está </w:t>
      </w:r>
      <w:proofErr w:type="spellStart"/>
      <w:r>
        <w:rPr>
          <w:color w:val="222222"/>
        </w:rPr>
        <w:t>incumprindo</w:t>
      </w:r>
      <w:proofErr w:type="spellEnd"/>
      <w:r>
        <w:rPr>
          <w:color w:val="222222"/>
        </w:rPr>
        <w:t xml:space="preserve"> nenhuma obrigação com relação a estes bônus. </w:t>
      </w:r>
    </w:p>
    <w:p w14:paraId="66754C78" w14:textId="77777777" w:rsidR="007811EB" w:rsidRDefault="007811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22222"/>
        </w:rPr>
      </w:pPr>
    </w:p>
    <w:p w14:paraId="3D037687" w14:textId="77777777" w:rsidR="007811EB" w:rsidRDefault="00EF47A9">
      <w:p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Venda de a</w:t>
      </w:r>
      <w:r>
        <w:rPr>
          <w:b/>
          <w:sz w:val="26"/>
          <w:szCs w:val="26"/>
        </w:rPr>
        <w:t xml:space="preserve">tivos não estratégicos: </w:t>
      </w:r>
    </w:p>
    <w:p w14:paraId="48E6F834" w14:textId="77777777" w:rsidR="007811EB" w:rsidRDefault="00EF47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Getcom</w:t>
      </w:r>
      <w:proofErr w:type="spellEnd"/>
      <w:r>
        <w:rPr>
          <w:b/>
          <w:color w:val="000000"/>
        </w:rPr>
        <w:t xml:space="preserve">: </w:t>
      </w:r>
      <w:r>
        <w:rPr>
          <w:color w:val="000000"/>
        </w:rPr>
        <w:t xml:space="preserve">venda de 100% da participação em </w:t>
      </w:r>
      <w:proofErr w:type="spellStart"/>
      <w:r>
        <w:rPr>
          <w:color w:val="000000"/>
        </w:rPr>
        <w:t>Getcom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Int'l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Investments</w:t>
      </w:r>
      <w:proofErr w:type="spellEnd"/>
      <w:r>
        <w:rPr>
          <w:color w:val="000000"/>
        </w:rPr>
        <w:t xml:space="preserve"> S.L (50% do total de ações), companhia de serviços de </w:t>
      </w:r>
      <w:proofErr w:type="spellStart"/>
      <w:r>
        <w:rPr>
          <w:color w:val="000000"/>
        </w:rPr>
        <w:t>Contact</w:t>
      </w:r>
      <w:proofErr w:type="spellEnd"/>
      <w:r>
        <w:rPr>
          <w:color w:val="000000"/>
        </w:rPr>
        <w:t xml:space="preserve"> Center e BPO, a </w:t>
      </w:r>
      <w:proofErr w:type="spellStart"/>
      <w:r>
        <w:rPr>
          <w:color w:val="000000"/>
        </w:rPr>
        <w:t>Seger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Investments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Corp</w:t>
      </w:r>
      <w:proofErr w:type="spellEnd"/>
      <w:r>
        <w:rPr>
          <w:color w:val="000000"/>
        </w:rPr>
        <w:t xml:space="preserve">. </w:t>
      </w:r>
    </w:p>
    <w:p w14:paraId="5FCCB097" w14:textId="77777777" w:rsidR="007811EB" w:rsidRDefault="00EF47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color w:val="000000"/>
        </w:rPr>
      </w:pPr>
      <w:r>
        <w:rPr>
          <w:b/>
          <w:color w:val="000000"/>
        </w:rPr>
        <w:t>CAI:</w:t>
      </w:r>
      <w:r>
        <w:rPr>
          <w:color w:val="000000"/>
        </w:rPr>
        <w:t>  venda de 100% de participação no negócio de treinamento com simuladores de voo; que inclu</w:t>
      </w:r>
      <w:r>
        <w:rPr>
          <w:color w:val="000000"/>
        </w:rPr>
        <w:t xml:space="preserve">iu a venda de certos ativos e da totalidade das ações (50%) que havia em Avianca-CAI </w:t>
      </w:r>
      <w:proofErr w:type="spellStart"/>
      <w:r>
        <w:rPr>
          <w:color w:val="000000"/>
        </w:rPr>
        <w:t>Flight</w:t>
      </w:r>
      <w:proofErr w:type="spellEnd"/>
      <w:r>
        <w:rPr>
          <w:color w:val="000000"/>
        </w:rPr>
        <w:t xml:space="preserve"> Training (ACFT) S.A.S. A Holding efetuou a venda para a sociedade CAI </w:t>
      </w:r>
      <w:proofErr w:type="spellStart"/>
      <w:r>
        <w:rPr>
          <w:color w:val="000000"/>
        </w:rPr>
        <w:t>International</w:t>
      </w:r>
      <w:proofErr w:type="spellEnd"/>
      <w:r>
        <w:rPr>
          <w:color w:val="000000"/>
        </w:rPr>
        <w:t xml:space="preserve"> Holdings </w:t>
      </w:r>
      <w:proofErr w:type="spellStart"/>
      <w:r>
        <w:rPr>
          <w:color w:val="000000"/>
        </w:rPr>
        <w:t>Ltd</w:t>
      </w:r>
      <w:proofErr w:type="spellEnd"/>
      <w:r>
        <w:rPr>
          <w:color w:val="000000"/>
        </w:rPr>
        <w:t xml:space="preserve"> quem já era proprietária de 50% desta empresa. </w:t>
      </w:r>
    </w:p>
    <w:p w14:paraId="4A9F788E" w14:textId="77777777" w:rsidR="007811EB" w:rsidRDefault="00EF47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color w:val="000000"/>
        </w:rPr>
      </w:pPr>
      <w:r>
        <w:rPr>
          <w:b/>
          <w:color w:val="000000"/>
        </w:rPr>
        <w:t xml:space="preserve">SANSA e La </w:t>
      </w:r>
      <w:proofErr w:type="spellStart"/>
      <w:r>
        <w:rPr>
          <w:b/>
          <w:color w:val="000000"/>
        </w:rPr>
        <w:t>Costeña</w:t>
      </w:r>
      <w:proofErr w:type="spellEnd"/>
      <w:r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venda de 100% da participação nestas companhias aéreas que oferecem serviços dentro da Costa Rica e Nicarágua. Por esta venda, aproximadamente US$ 15,5 milhões foram recebidos. </w:t>
      </w:r>
    </w:p>
    <w:p w14:paraId="62E0C869" w14:textId="77777777" w:rsidR="007811EB" w:rsidRDefault="00EF47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color w:val="000000"/>
        </w:rPr>
      </w:pPr>
      <w:r>
        <w:rPr>
          <w:b/>
          <w:color w:val="000000"/>
        </w:rPr>
        <w:t>Transações em curso:</w:t>
      </w:r>
      <w:r>
        <w:rPr>
          <w:rFonts w:ascii="Quattrocento Sans" w:eastAsia="Quattrocento Sans" w:hAnsi="Quattrocento Sans" w:cs="Quattrocento Sans"/>
          <w:b/>
          <w:color w:val="000000"/>
        </w:rPr>
        <w:t xml:space="preserve"> </w:t>
      </w:r>
      <w:r>
        <w:rPr>
          <w:color w:val="000000"/>
        </w:rPr>
        <w:t xml:space="preserve">espera-se concretizar a venda de 100% de </w:t>
      </w:r>
      <w:proofErr w:type="spellStart"/>
      <w:r>
        <w:rPr>
          <w:color w:val="000000"/>
        </w:rPr>
        <w:t>Deprissa</w:t>
      </w:r>
      <w:proofErr w:type="spellEnd"/>
      <w:r>
        <w:rPr>
          <w:color w:val="000000"/>
        </w:rPr>
        <w:t xml:space="preserve"> e de 42% de Viajes </w:t>
      </w:r>
      <w:proofErr w:type="spellStart"/>
      <w:r>
        <w:rPr>
          <w:color w:val="000000"/>
        </w:rPr>
        <w:t>Éxito</w:t>
      </w:r>
      <w:proofErr w:type="spellEnd"/>
      <w:r>
        <w:rPr>
          <w:color w:val="000000"/>
        </w:rPr>
        <w:t>.</w:t>
      </w:r>
    </w:p>
    <w:p w14:paraId="64754267" w14:textId="77777777" w:rsidR="007811EB" w:rsidRDefault="007811EB">
      <w:pPr>
        <w:spacing w:after="0"/>
        <w:jc w:val="both"/>
        <w:rPr>
          <w:b/>
          <w:sz w:val="26"/>
          <w:szCs w:val="26"/>
        </w:rPr>
      </w:pPr>
    </w:p>
    <w:p w14:paraId="01815698" w14:textId="77777777" w:rsidR="007811EB" w:rsidRDefault="007811EB">
      <w:pPr>
        <w:spacing w:after="0"/>
        <w:jc w:val="both"/>
        <w:rPr>
          <w:b/>
          <w:sz w:val="26"/>
          <w:szCs w:val="26"/>
        </w:rPr>
      </w:pPr>
    </w:p>
    <w:p w14:paraId="59E3AB48" w14:textId="77777777" w:rsidR="007811EB" w:rsidRDefault="007811EB">
      <w:pPr>
        <w:spacing w:after="0"/>
        <w:jc w:val="both"/>
        <w:rPr>
          <w:b/>
          <w:sz w:val="26"/>
          <w:szCs w:val="26"/>
        </w:rPr>
      </w:pPr>
    </w:p>
    <w:p w14:paraId="0E2ECD7D" w14:textId="77777777" w:rsidR="007811EB" w:rsidRDefault="007811EB">
      <w:pPr>
        <w:spacing w:after="0"/>
        <w:jc w:val="both"/>
        <w:rPr>
          <w:b/>
          <w:sz w:val="26"/>
          <w:szCs w:val="26"/>
        </w:rPr>
      </w:pPr>
    </w:p>
    <w:p w14:paraId="348DFBAB" w14:textId="77777777" w:rsidR="007811EB" w:rsidRDefault="00EF47A9">
      <w:pPr>
        <w:spacing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Simplificação da frota: </w:t>
      </w:r>
    </w:p>
    <w:p w14:paraId="45FC9EFF" w14:textId="77777777" w:rsidR="007811EB" w:rsidRDefault="00EF47A9">
      <w:pPr>
        <w:spacing w:after="0"/>
        <w:jc w:val="both"/>
      </w:pPr>
      <w:r>
        <w:t xml:space="preserve">Avança-se na estratégia de desaceleração de entrada de frota e de simplificá-la. Além da renegociação com a Airbus do primeiro trimestre, que permitiu </w:t>
      </w:r>
      <w:r>
        <w:t xml:space="preserve">uma redução de </w:t>
      </w:r>
      <w:r>
        <w:rPr>
          <w:b/>
        </w:rPr>
        <w:t>US$ 2,6</w:t>
      </w:r>
      <w:r>
        <w:t xml:space="preserve"> bilhões em compromissos financeiros e uma proteção em recursos de caixa de </w:t>
      </w:r>
      <w:r>
        <w:rPr>
          <w:b/>
        </w:rPr>
        <w:t>US$ 350</w:t>
      </w:r>
      <w:r>
        <w:t xml:space="preserve"> milhões, conseguiu-se o adiamento em termos de contrato, de certas aeronaves. Além disso, durante o segundo trimestre foram assinados contratos de ven</w:t>
      </w:r>
      <w:r>
        <w:t xml:space="preserve">da para um total de </w:t>
      </w:r>
      <w:r>
        <w:rPr>
          <w:b/>
        </w:rPr>
        <w:t>39</w:t>
      </w:r>
      <w:r>
        <w:t xml:space="preserve"> aviões (incluindo aquelas associadas à venda das companhias aéreas </w:t>
      </w:r>
      <w:proofErr w:type="spellStart"/>
      <w:r>
        <w:t>Sansa</w:t>
      </w:r>
      <w:proofErr w:type="spellEnd"/>
      <w:r>
        <w:t xml:space="preserve"> e La </w:t>
      </w:r>
      <w:proofErr w:type="spellStart"/>
      <w:r>
        <w:t>Costeña</w:t>
      </w:r>
      <w:proofErr w:type="spellEnd"/>
      <w:r>
        <w:t>):</w:t>
      </w:r>
    </w:p>
    <w:p w14:paraId="076C683E" w14:textId="77777777" w:rsidR="007811EB" w:rsidRDefault="007811EB">
      <w:pPr>
        <w:spacing w:after="0"/>
        <w:jc w:val="both"/>
      </w:pPr>
    </w:p>
    <w:p w14:paraId="64E7D090" w14:textId="77777777" w:rsidR="007811EB" w:rsidRDefault="00EF47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color w:val="000000"/>
        </w:rPr>
      </w:pPr>
      <w:r>
        <w:rPr>
          <w:b/>
          <w:color w:val="393939"/>
        </w:rPr>
        <w:t xml:space="preserve">Saída de 13 aviões </w:t>
      </w:r>
      <w:proofErr w:type="spellStart"/>
      <w:r>
        <w:rPr>
          <w:b/>
          <w:color w:val="393939"/>
        </w:rPr>
        <w:t>Cessna</w:t>
      </w:r>
      <w:proofErr w:type="spellEnd"/>
      <w:r>
        <w:rPr>
          <w:b/>
          <w:color w:val="393939"/>
        </w:rPr>
        <w:t xml:space="preserve"> 208 e dois (2) ATR 42 </w:t>
      </w:r>
      <w:r>
        <w:rPr>
          <w:color w:val="393939"/>
        </w:rPr>
        <w:t>devido à</w:t>
      </w:r>
      <w:r>
        <w:rPr>
          <w:b/>
          <w:color w:val="393939"/>
        </w:rPr>
        <w:t xml:space="preserve"> </w:t>
      </w:r>
      <w:r>
        <w:rPr>
          <w:color w:val="393939"/>
        </w:rPr>
        <w:t xml:space="preserve">venda das companhias aéreas </w:t>
      </w:r>
      <w:proofErr w:type="spellStart"/>
      <w:r>
        <w:rPr>
          <w:color w:val="393939"/>
        </w:rPr>
        <w:t>Sansa</w:t>
      </w:r>
      <w:proofErr w:type="spellEnd"/>
      <w:r>
        <w:rPr>
          <w:color w:val="393939"/>
        </w:rPr>
        <w:t xml:space="preserve"> e La </w:t>
      </w:r>
      <w:proofErr w:type="spellStart"/>
      <w:r>
        <w:rPr>
          <w:color w:val="393939"/>
        </w:rPr>
        <w:t>Costeña</w:t>
      </w:r>
      <w:proofErr w:type="spellEnd"/>
      <w:r>
        <w:rPr>
          <w:color w:val="393939"/>
        </w:rPr>
        <w:t>.</w:t>
      </w:r>
    </w:p>
    <w:p w14:paraId="2C390D70" w14:textId="77777777" w:rsidR="007811EB" w:rsidRDefault="00EF47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color w:val="000000"/>
        </w:rPr>
      </w:pPr>
      <w:r>
        <w:rPr>
          <w:b/>
          <w:color w:val="000000"/>
        </w:rPr>
        <w:t xml:space="preserve">Venda de 14 aviões da família 320 </w:t>
      </w:r>
      <w:r>
        <w:rPr>
          <w:color w:val="393939"/>
        </w:rPr>
        <w:t xml:space="preserve">para a companhia americana </w:t>
      </w:r>
      <w:proofErr w:type="spellStart"/>
      <w:r>
        <w:rPr>
          <w:color w:val="393939"/>
        </w:rPr>
        <w:t>Fortress</w:t>
      </w:r>
      <w:proofErr w:type="spellEnd"/>
      <w:r>
        <w:rPr>
          <w:color w:val="393939"/>
        </w:rPr>
        <w:t xml:space="preserve"> </w:t>
      </w:r>
      <w:proofErr w:type="spellStart"/>
      <w:r>
        <w:rPr>
          <w:color w:val="393939"/>
        </w:rPr>
        <w:t>Transportation</w:t>
      </w:r>
      <w:proofErr w:type="spellEnd"/>
      <w:r>
        <w:rPr>
          <w:color w:val="393939"/>
        </w:rPr>
        <w:t xml:space="preserve"> </w:t>
      </w:r>
      <w:proofErr w:type="spellStart"/>
      <w:r>
        <w:rPr>
          <w:color w:val="393939"/>
        </w:rPr>
        <w:t>and</w:t>
      </w:r>
      <w:proofErr w:type="spellEnd"/>
      <w:r>
        <w:rPr>
          <w:color w:val="393939"/>
        </w:rPr>
        <w:t xml:space="preserve"> </w:t>
      </w:r>
      <w:proofErr w:type="spellStart"/>
      <w:r>
        <w:rPr>
          <w:color w:val="393939"/>
        </w:rPr>
        <w:t>Infrastructure</w:t>
      </w:r>
      <w:proofErr w:type="spellEnd"/>
      <w:r>
        <w:rPr>
          <w:color w:val="393939"/>
        </w:rPr>
        <w:t xml:space="preserve"> </w:t>
      </w:r>
      <w:proofErr w:type="spellStart"/>
      <w:r>
        <w:rPr>
          <w:color w:val="393939"/>
        </w:rPr>
        <w:t>Investors</w:t>
      </w:r>
      <w:proofErr w:type="spellEnd"/>
      <w:r>
        <w:rPr>
          <w:color w:val="393939"/>
        </w:rPr>
        <w:t xml:space="preserve"> LLC. </w:t>
      </w:r>
    </w:p>
    <w:p w14:paraId="23C55576" w14:textId="77777777" w:rsidR="007811EB" w:rsidRDefault="00EF47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color w:val="000000"/>
        </w:rPr>
      </w:pPr>
      <w:r>
        <w:rPr>
          <w:b/>
          <w:color w:val="393939"/>
        </w:rPr>
        <w:t>A venda de toda a Frota Embraer (10 aviões).</w:t>
      </w:r>
      <w:r>
        <w:rPr>
          <w:color w:val="000000"/>
        </w:rPr>
        <w:t xml:space="preserve"> </w:t>
      </w:r>
    </w:p>
    <w:p w14:paraId="646C4630" w14:textId="77777777" w:rsidR="007811EB" w:rsidRDefault="00EF47A9">
      <w:pPr>
        <w:spacing w:line="252" w:lineRule="auto"/>
        <w:jc w:val="both"/>
      </w:pPr>
      <w:r>
        <w:rPr>
          <w:color w:val="393939"/>
        </w:rPr>
        <w:t xml:space="preserve">A venda de frota terá efeito diferido durante o resto do ano. Com estas transações, a Avianca Holdings fechará </w:t>
      </w:r>
      <w:proofErr w:type="gramStart"/>
      <w:r>
        <w:rPr>
          <w:color w:val="393939"/>
        </w:rPr>
        <w:t>o  ano</w:t>
      </w:r>
      <w:proofErr w:type="gramEnd"/>
      <w:r>
        <w:rPr>
          <w:color w:val="393939"/>
        </w:rPr>
        <w:t xml:space="preserve"> de 2019 aproximadamente com </w:t>
      </w:r>
      <w:r>
        <w:rPr>
          <w:b/>
          <w:color w:val="393939"/>
        </w:rPr>
        <w:t>156 aviões</w:t>
      </w:r>
      <w:r>
        <w:rPr>
          <w:color w:val="393939"/>
        </w:rPr>
        <w:t xml:space="preserve">, o que implicará numa redução de sua frota de aproximadamente </w:t>
      </w:r>
      <w:r>
        <w:rPr>
          <w:b/>
          <w:color w:val="393939"/>
        </w:rPr>
        <w:t xml:space="preserve">21%, </w:t>
      </w:r>
      <w:r>
        <w:rPr>
          <w:color w:val="393939"/>
        </w:rPr>
        <w:t xml:space="preserve">e em consequência a reordenação </w:t>
      </w:r>
      <w:r>
        <w:rPr>
          <w:color w:val="393939"/>
        </w:rPr>
        <w:t>da oferta para ser más consistente com a demanda. Além de simplificar significativamente a sua operação, tanto em custos de manutenção, como em inventários e treinamento de tripulações.</w:t>
      </w:r>
    </w:p>
    <w:p w14:paraId="28CD93BA" w14:textId="77777777" w:rsidR="007811EB" w:rsidRDefault="00EF47A9">
      <w:p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Otimização da rentabilidade operacional: </w:t>
      </w:r>
    </w:p>
    <w:p w14:paraId="71A91CCF" w14:textId="77777777" w:rsidR="007811EB" w:rsidRDefault="00EF47A9">
      <w:pPr>
        <w:spacing w:after="0"/>
        <w:jc w:val="both"/>
      </w:pPr>
      <w:r>
        <w:t>O ajuste da rede é uma das p</w:t>
      </w:r>
      <w:r>
        <w:t>rincipais ações implementadas durante o ano. As mudanças foram feitas para atender àquelas com maior demanda e melhor desempenho. Por esta razão, foram canceladas 25 rotas e reduzidas frequências. Os ajustes aconteceram principalmente nos mercados da Améri</w:t>
      </w:r>
      <w:r>
        <w:t>ca Central, América do Norte e do Peru. Da mesma forma, foi redistribuída a capacidade em algumas rotas, aumentando voos de Bogotá para Cali, Medellín, Bucaramanga, Santiago do Chile, Orlando-Estados Unidos e Barcelona-Espanha, procurando assim localizar o</w:t>
      </w:r>
      <w:r>
        <w:t xml:space="preserve">s recursos nas rotas mais lucrativas. </w:t>
      </w:r>
    </w:p>
    <w:p w14:paraId="7FC33405" w14:textId="77777777" w:rsidR="007811EB" w:rsidRDefault="007811EB">
      <w:pPr>
        <w:spacing w:after="0"/>
        <w:jc w:val="both"/>
      </w:pPr>
    </w:p>
    <w:p w14:paraId="7EAFA9B6" w14:textId="77777777" w:rsidR="007811EB" w:rsidRDefault="00EF47A9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Desempenho das Unidades de Negócio</w:t>
      </w:r>
    </w:p>
    <w:p w14:paraId="340E9BBC" w14:textId="77777777" w:rsidR="007811EB" w:rsidRDefault="00EF47A9">
      <w:pPr>
        <w:spacing w:after="0" w:line="240" w:lineRule="auto"/>
        <w:jc w:val="both"/>
      </w:pPr>
      <w:r>
        <w:t xml:space="preserve">As unidades de negócio contribuíram para o total da receita do 2Q em </w:t>
      </w:r>
      <w:r>
        <w:rPr>
          <w:b/>
        </w:rPr>
        <w:t>16%:</w:t>
      </w:r>
      <w:r>
        <w:t xml:space="preserve"> </w:t>
      </w:r>
    </w:p>
    <w:p w14:paraId="2F795570" w14:textId="77777777" w:rsidR="007811EB" w:rsidRDefault="00EF47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Avianca Cargo</w:t>
      </w:r>
      <w:r>
        <w:rPr>
          <w:color w:val="000000"/>
        </w:rPr>
        <w:t xml:space="preserve">: continua como a líder do mercado colombiano com </w:t>
      </w:r>
      <w:r>
        <w:rPr>
          <w:b/>
          <w:color w:val="000000"/>
        </w:rPr>
        <w:t>38,3%,</w:t>
      </w:r>
      <w:r>
        <w:rPr>
          <w:color w:val="000000"/>
        </w:rPr>
        <w:t xml:space="preserve"> e como a terceira companhia no Aerop</w:t>
      </w:r>
      <w:r>
        <w:rPr>
          <w:color w:val="000000"/>
        </w:rPr>
        <w:t xml:space="preserve">orto Internacional de Miami com uma participação </w:t>
      </w:r>
      <w:proofErr w:type="gramStart"/>
      <w:r>
        <w:rPr>
          <w:color w:val="000000"/>
        </w:rPr>
        <w:t xml:space="preserve">de  </w:t>
      </w:r>
      <w:r>
        <w:rPr>
          <w:b/>
          <w:color w:val="000000"/>
        </w:rPr>
        <w:t>13</w:t>
      </w:r>
      <w:proofErr w:type="gramEnd"/>
      <w:r>
        <w:rPr>
          <w:b/>
          <w:color w:val="000000"/>
        </w:rPr>
        <w:t>,7%.</w:t>
      </w:r>
      <w:r>
        <w:rPr>
          <w:color w:val="000000"/>
        </w:rPr>
        <w:t xml:space="preserve"> </w:t>
      </w:r>
    </w:p>
    <w:p w14:paraId="5CCF70DE" w14:textId="77777777" w:rsidR="007811EB" w:rsidRDefault="00EF47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b/>
          <w:color w:val="000000"/>
        </w:rPr>
        <w:t>LifeMiles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destaca-se o crescimento da base de membros em </w:t>
      </w:r>
      <w:r>
        <w:rPr>
          <w:b/>
          <w:color w:val="000000"/>
        </w:rPr>
        <w:t>10,7%,</w:t>
      </w:r>
      <w:r>
        <w:rPr>
          <w:color w:val="000000"/>
        </w:rPr>
        <w:t xml:space="preserve"> ultrapassando os </w:t>
      </w:r>
      <w:r>
        <w:rPr>
          <w:b/>
          <w:color w:val="000000"/>
        </w:rPr>
        <w:t>9,2 milhões</w:t>
      </w:r>
      <w:r>
        <w:rPr>
          <w:color w:val="000000"/>
        </w:rPr>
        <w:t xml:space="preserve"> de sócios. Por outro lado, o programa fechou o período com </w:t>
      </w:r>
      <w:r>
        <w:rPr>
          <w:b/>
          <w:color w:val="000000"/>
        </w:rPr>
        <w:t>537 sócios comerciais</w:t>
      </w:r>
      <w:r>
        <w:rPr>
          <w:color w:val="000000"/>
        </w:rPr>
        <w:t xml:space="preserve"> em toda a América Latina. </w:t>
      </w:r>
    </w:p>
    <w:p w14:paraId="1D29E3EB" w14:textId="77777777" w:rsidR="007811EB" w:rsidRDefault="00EF47A9">
      <w:p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Fortalecimento da governança corporativa e equipe diretiva:</w:t>
      </w:r>
    </w:p>
    <w:p w14:paraId="6B197E18" w14:textId="77777777" w:rsidR="007811EB" w:rsidRDefault="00EF47A9">
      <w:pPr>
        <w:spacing w:after="0"/>
        <w:jc w:val="both"/>
      </w:pPr>
      <w:r>
        <w:t>Finalmente, a governança corporativa ficou ainda mais fortalecida durante o segundo tri</w:t>
      </w:r>
      <w:r>
        <w:t xml:space="preserve">mestre quando a United Airlines cumpriu com os direitos contratuais relacionados com seu acordo com a BRW </w:t>
      </w:r>
      <w:proofErr w:type="spellStart"/>
      <w:r>
        <w:t>Aviation</w:t>
      </w:r>
      <w:proofErr w:type="spellEnd"/>
      <w:r>
        <w:t xml:space="preserve"> (</w:t>
      </w:r>
      <w:proofErr w:type="spellStart"/>
      <w:r>
        <w:t>Synergy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) e nomeou a </w:t>
      </w:r>
      <w:proofErr w:type="spellStart"/>
      <w:r>
        <w:t>Kingsland</w:t>
      </w:r>
      <w:proofErr w:type="spellEnd"/>
      <w:r>
        <w:t xml:space="preserve"> Holdings </w:t>
      </w:r>
      <w:proofErr w:type="spellStart"/>
      <w:r>
        <w:t>Limited</w:t>
      </w:r>
      <w:proofErr w:type="spellEnd"/>
      <w:r>
        <w:t xml:space="preserve"> como uma terceira parte independente com os direitos de voto correspondentes à BRW </w:t>
      </w:r>
      <w:proofErr w:type="spellStart"/>
      <w:r>
        <w:t>Avia</w:t>
      </w:r>
      <w:r>
        <w:t>tion</w:t>
      </w:r>
      <w:proofErr w:type="spellEnd"/>
      <w:r>
        <w:t xml:space="preserve">. Por sua vez, a nomeação de </w:t>
      </w:r>
      <w:proofErr w:type="spellStart"/>
      <w:r>
        <w:t>Anko</w:t>
      </w:r>
      <w:proofErr w:type="spellEnd"/>
      <w:r>
        <w:t xml:space="preserve"> van der </w:t>
      </w:r>
      <w:proofErr w:type="spellStart"/>
      <w:r>
        <w:t>Werff</w:t>
      </w:r>
      <w:proofErr w:type="spellEnd"/>
      <w:r>
        <w:t xml:space="preserve"> como CEO e Presidente, e de </w:t>
      </w:r>
      <w:proofErr w:type="spellStart"/>
      <w:r>
        <w:t>Adrián</w:t>
      </w:r>
      <w:proofErr w:type="spellEnd"/>
      <w:r>
        <w:t xml:space="preserve"> </w:t>
      </w:r>
      <w:proofErr w:type="spellStart"/>
      <w:r>
        <w:t>Neuhauser</w:t>
      </w:r>
      <w:proofErr w:type="spellEnd"/>
      <w:r>
        <w:t xml:space="preserve"> como CFO, contribuiu para o fortalecimento da equipe de gestão da organização e permitiu dar ainda mais velocidade aos planos de ajuste.</w:t>
      </w:r>
    </w:p>
    <w:p w14:paraId="4C0742BF" w14:textId="77777777" w:rsidR="007811EB" w:rsidRDefault="007811EB">
      <w:pPr>
        <w:spacing w:after="0"/>
        <w:jc w:val="both"/>
      </w:pPr>
    </w:p>
    <w:p w14:paraId="4D98861B" w14:textId="77777777" w:rsidR="007811EB" w:rsidRDefault="00EF47A9">
      <w:pPr>
        <w:ind w:left="-142"/>
        <w:jc w:val="both"/>
        <w:rPr>
          <w:i/>
          <w:color w:val="7F7F7F"/>
          <w:sz w:val="18"/>
          <w:szCs w:val="18"/>
        </w:rPr>
      </w:pPr>
      <w:r>
        <w:rPr>
          <w:i/>
          <w:color w:val="7F7F7F"/>
          <w:sz w:val="18"/>
          <w:szCs w:val="18"/>
        </w:rPr>
        <w:t>* As despesas operaci</w:t>
      </w:r>
      <w:r>
        <w:rPr>
          <w:i/>
          <w:color w:val="7F7F7F"/>
          <w:sz w:val="18"/>
          <w:szCs w:val="18"/>
        </w:rPr>
        <w:t xml:space="preserve">onais apresentaram um forte incremento devido à deterioração do valor contábil da frota classificada como disponível para venda (10 Embraer 190, 10 A318 e 4 A320). Dado que o valor esperado de venda seria menor do que o registrado em livros contábeis </w:t>
      </w:r>
      <w:r>
        <w:rPr>
          <w:i/>
          <w:color w:val="7F7F7F"/>
          <w:sz w:val="18"/>
          <w:szCs w:val="18"/>
        </w:rPr>
        <w:lastRenderedPageBreak/>
        <w:t>da em</w:t>
      </w:r>
      <w:r>
        <w:rPr>
          <w:i/>
          <w:color w:val="7F7F7F"/>
          <w:sz w:val="18"/>
          <w:szCs w:val="18"/>
        </w:rPr>
        <w:t xml:space="preserve">presa, por normas contábeis esta diferença é assumida como uma despesa maior dentro da conta de Depreciação e Amortização o qual incrementou as despesas da companhia sem que isto implique uma saída de caixa. </w:t>
      </w:r>
    </w:p>
    <w:p w14:paraId="6F5DA926" w14:textId="77777777" w:rsidR="007811EB" w:rsidRDefault="00EF47A9">
      <w:pPr>
        <w:ind w:left="-142"/>
        <w:jc w:val="both"/>
        <w:rPr>
          <w:i/>
          <w:color w:val="7F7F7F"/>
          <w:sz w:val="18"/>
          <w:szCs w:val="18"/>
        </w:rPr>
      </w:pPr>
      <w:r>
        <w:rPr>
          <w:i/>
          <w:color w:val="7F7F7F"/>
          <w:sz w:val="18"/>
          <w:szCs w:val="18"/>
        </w:rPr>
        <w:t>A maior despesa na conta de depreciação e amort</w:t>
      </w:r>
      <w:r>
        <w:rPr>
          <w:i/>
          <w:color w:val="7F7F7F"/>
          <w:sz w:val="18"/>
          <w:szCs w:val="18"/>
        </w:rPr>
        <w:t>ização reverte o efeito contábil.</w:t>
      </w:r>
    </w:p>
    <w:p w14:paraId="772F13DB" w14:textId="77777777" w:rsidR="007811EB" w:rsidRDefault="00EF47A9">
      <w:pPr>
        <w:ind w:left="-142"/>
        <w:jc w:val="both"/>
        <w:rPr>
          <w:i/>
          <w:color w:val="7F7F7F"/>
          <w:sz w:val="18"/>
          <w:szCs w:val="18"/>
        </w:rPr>
      </w:pPr>
      <w:proofErr w:type="gramStart"/>
      <w:r>
        <w:rPr>
          <w:i/>
          <w:color w:val="7F7F7F"/>
          <w:sz w:val="18"/>
          <w:szCs w:val="18"/>
        </w:rPr>
        <w:t>A informação financeira e operacional são</w:t>
      </w:r>
      <w:proofErr w:type="gramEnd"/>
      <w:r>
        <w:rPr>
          <w:i/>
          <w:color w:val="7F7F7F"/>
          <w:sz w:val="18"/>
          <w:szCs w:val="18"/>
        </w:rPr>
        <w:t xml:space="preserve"> mostradas em milhões de dólares americanos, exceto quando indica-se o contrário, e de acordo com as Normas Internacionais de Informação Financeira (NIIF/IFRS). </w:t>
      </w:r>
    </w:p>
    <w:p w14:paraId="6419BEE7" w14:textId="77777777" w:rsidR="007811EB" w:rsidRDefault="00EF47A9">
      <w:pPr>
        <w:spacing w:after="0"/>
        <w:ind w:left="-142"/>
        <w:jc w:val="both"/>
        <w:rPr>
          <w:b/>
          <w:i/>
          <w:color w:val="7F7F7F"/>
          <w:sz w:val="18"/>
          <w:szCs w:val="18"/>
        </w:rPr>
      </w:pPr>
      <w:r>
        <w:rPr>
          <w:b/>
          <w:i/>
          <w:color w:val="7F7F7F"/>
          <w:sz w:val="18"/>
          <w:szCs w:val="18"/>
        </w:rPr>
        <w:t>Sobre a Avianca Hol</w:t>
      </w:r>
      <w:r>
        <w:rPr>
          <w:b/>
          <w:i/>
          <w:color w:val="7F7F7F"/>
          <w:sz w:val="18"/>
          <w:szCs w:val="18"/>
        </w:rPr>
        <w:t>dings</w:t>
      </w:r>
    </w:p>
    <w:p w14:paraId="4ABD97FB" w14:textId="77777777" w:rsidR="007811EB" w:rsidRDefault="00EF47A9">
      <w:pPr>
        <w:spacing w:after="0"/>
        <w:ind w:left="-142"/>
        <w:jc w:val="both"/>
        <w:rPr>
          <w:i/>
          <w:color w:val="7F7F7F"/>
          <w:sz w:val="18"/>
          <w:szCs w:val="18"/>
        </w:rPr>
      </w:pPr>
      <w:r>
        <w:rPr>
          <w:i/>
          <w:color w:val="7F7F7F"/>
          <w:sz w:val="18"/>
          <w:szCs w:val="18"/>
        </w:rPr>
        <w:t>A Avianca é a marca comercial que agrupa as companhias aéreas de transporte de passageiros e carga agrupadas em Avianca Holdings S.A. Voando há 100 anos de forma ininterrupta. Com uma frota ao redor de 156 aviões oferece uma rede de rotas composta po</w:t>
      </w:r>
      <w:r>
        <w:rPr>
          <w:i/>
          <w:color w:val="7F7F7F"/>
          <w:sz w:val="18"/>
          <w:szCs w:val="18"/>
        </w:rPr>
        <w:t>r 76 destinos em 27 países da América e da Europa. Com mais de 21.000 funcionários, a Holding transportou 30,5 milhões de passageiros. No dia 22 de fevereiro de 2019, a Avianca apresentou o seu plano de transformação corporativo composto por quatro pilares</w:t>
      </w:r>
      <w:r>
        <w:rPr>
          <w:i/>
          <w:color w:val="7F7F7F"/>
          <w:sz w:val="18"/>
          <w:szCs w:val="18"/>
        </w:rPr>
        <w:t xml:space="preserve">: 1) melhorar os indicadores operacionais 2) ajustes no plano de frota. 3) otimização da rentabilidade operacional. 4) desinvestimento de ativos não estratégicos.   No dia 24 de maio, o controle da companhia foi assumido pela </w:t>
      </w:r>
      <w:proofErr w:type="spellStart"/>
      <w:r>
        <w:rPr>
          <w:i/>
          <w:color w:val="7F7F7F"/>
          <w:sz w:val="18"/>
          <w:szCs w:val="18"/>
        </w:rPr>
        <w:t>Kingsland</w:t>
      </w:r>
      <w:proofErr w:type="spellEnd"/>
      <w:r>
        <w:rPr>
          <w:i/>
          <w:color w:val="7F7F7F"/>
          <w:sz w:val="18"/>
          <w:szCs w:val="18"/>
        </w:rPr>
        <w:t xml:space="preserve"> Holding </w:t>
      </w:r>
      <w:proofErr w:type="spellStart"/>
      <w:r>
        <w:rPr>
          <w:i/>
          <w:color w:val="7F7F7F"/>
          <w:sz w:val="18"/>
          <w:szCs w:val="18"/>
        </w:rPr>
        <w:t>Limited</w:t>
      </w:r>
      <w:proofErr w:type="spellEnd"/>
      <w:r>
        <w:rPr>
          <w:i/>
          <w:color w:val="7F7F7F"/>
          <w:sz w:val="18"/>
          <w:szCs w:val="18"/>
        </w:rPr>
        <w:t xml:space="preserve"> como</w:t>
      </w:r>
      <w:r>
        <w:rPr>
          <w:i/>
          <w:color w:val="7F7F7F"/>
          <w:sz w:val="18"/>
          <w:szCs w:val="18"/>
        </w:rPr>
        <w:t xml:space="preserve"> terceira parte independente da United Airlines.</w:t>
      </w:r>
    </w:p>
    <w:p w14:paraId="667C5FE2" w14:textId="77777777" w:rsidR="007811EB" w:rsidRDefault="007811EB">
      <w:pPr>
        <w:ind w:left="-142"/>
        <w:rPr>
          <w:b/>
          <w:i/>
          <w:color w:val="7F7F7F"/>
          <w:sz w:val="18"/>
          <w:szCs w:val="18"/>
        </w:rPr>
      </w:pPr>
    </w:p>
    <w:p w14:paraId="4C7749ED" w14:textId="77777777" w:rsidR="007811EB" w:rsidRDefault="00EF47A9">
      <w:pPr>
        <w:ind w:left="-142"/>
        <w:rPr>
          <w:i/>
          <w:color w:val="7F7F7F"/>
          <w:sz w:val="18"/>
          <w:szCs w:val="18"/>
        </w:rPr>
      </w:pPr>
      <w:r>
        <w:rPr>
          <w:b/>
          <w:i/>
          <w:color w:val="7F7F7F"/>
          <w:sz w:val="18"/>
          <w:szCs w:val="18"/>
        </w:rPr>
        <w:t xml:space="preserve">Sobre a </w:t>
      </w:r>
      <w:proofErr w:type="spellStart"/>
      <w:r>
        <w:rPr>
          <w:b/>
          <w:i/>
          <w:color w:val="7F7F7F"/>
          <w:sz w:val="18"/>
          <w:szCs w:val="18"/>
        </w:rPr>
        <w:t>Kingsland</w:t>
      </w:r>
      <w:proofErr w:type="spellEnd"/>
      <w:r>
        <w:rPr>
          <w:i/>
          <w:color w:val="7F7F7F"/>
          <w:sz w:val="18"/>
          <w:szCs w:val="18"/>
        </w:rPr>
        <w:br/>
        <w:t xml:space="preserve">A </w:t>
      </w:r>
      <w:proofErr w:type="spellStart"/>
      <w:r>
        <w:rPr>
          <w:i/>
          <w:color w:val="7F7F7F"/>
          <w:sz w:val="18"/>
          <w:szCs w:val="18"/>
        </w:rPr>
        <w:t>Kingsland</w:t>
      </w:r>
      <w:proofErr w:type="spellEnd"/>
      <w:r>
        <w:rPr>
          <w:i/>
          <w:color w:val="7F7F7F"/>
          <w:sz w:val="18"/>
          <w:szCs w:val="18"/>
        </w:rPr>
        <w:t xml:space="preserve"> Holdings </w:t>
      </w:r>
      <w:proofErr w:type="spellStart"/>
      <w:r>
        <w:rPr>
          <w:i/>
          <w:color w:val="7F7F7F"/>
          <w:sz w:val="18"/>
          <w:szCs w:val="18"/>
        </w:rPr>
        <w:t>Limited</w:t>
      </w:r>
      <w:proofErr w:type="spellEnd"/>
      <w:r>
        <w:rPr>
          <w:i/>
          <w:color w:val="7F7F7F"/>
          <w:sz w:val="18"/>
          <w:szCs w:val="18"/>
        </w:rPr>
        <w:t xml:space="preserve"> é acionista da Avianca Holdings com 40 anos de experiência em aviação. A </w:t>
      </w:r>
      <w:proofErr w:type="spellStart"/>
      <w:r>
        <w:rPr>
          <w:i/>
          <w:color w:val="7F7F7F"/>
          <w:sz w:val="18"/>
          <w:szCs w:val="18"/>
        </w:rPr>
        <w:t>Kingsland</w:t>
      </w:r>
      <w:proofErr w:type="spellEnd"/>
      <w:r>
        <w:rPr>
          <w:i/>
          <w:color w:val="7F7F7F"/>
          <w:sz w:val="18"/>
          <w:szCs w:val="18"/>
        </w:rPr>
        <w:t xml:space="preserve"> é dirigida por Roberto </w:t>
      </w:r>
      <w:proofErr w:type="spellStart"/>
      <w:r>
        <w:rPr>
          <w:i/>
          <w:color w:val="7F7F7F"/>
          <w:sz w:val="18"/>
          <w:szCs w:val="18"/>
        </w:rPr>
        <w:t>Kriete</w:t>
      </w:r>
      <w:proofErr w:type="spellEnd"/>
      <w:r>
        <w:rPr>
          <w:i/>
          <w:color w:val="7F7F7F"/>
          <w:sz w:val="18"/>
          <w:szCs w:val="18"/>
        </w:rPr>
        <w:t>, quem tem sido parte do Conselho Administrativ</w:t>
      </w:r>
      <w:r>
        <w:rPr>
          <w:i/>
          <w:color w:val="7F7F7F"/>
          <w:sz w:val="18"/>
          <w:szCs w:val="18"/>
        </w:rPr>
        <w:t xml:space="preserve">o da Avianca Holdings S.A. desde 2010. Ele foi o fundador da </w:t>
      </w:r>
      <w:proofErr w:type="spellStart"/>
      <w:r>
        <w:rPr>
          <w:i/>
          <w:color w:val="7F7F7F"/>
          <w:sz w:val="18"/>
          <w:szCs w:val="18"/>
        </w:rPr>
        <w:t>Volaris</w:t>
      </w:r>
      <w:proofErr w:type="spellEnd"/>
      <w:r>
        <w:rPr>
          <w:i/>
          <w:color w:val="7F7F7F"/>
          <w:sz w:val="18"/>
          <w:szCs w:val="18"/>
        </w:rPr>
        <w:t>, pioneiro da TACA e presidente da Associação Latino-americana de Transporte Aéreo.</w:t>
      </w:r>
    </w:p>
    <w:p w14:paraId="175BE75C" w14:textId="77777777" w:rsidR="007811EB" w:rsidRDefault="007811EB">
      <w:pPr>
        <w:ind w:left="-142"/>
        <w:jc w:val="both"/>
        <w:rPr>
          <w:i/>
          <w:color w:val="7F7F7F"/>
          <w:sz w:val="18"/>
          <w:szCs w:val="18"/>
        </w:rPr>
      </w:pPr>
    </w:p>
    <w:p w14:paraId="3BC77B3B" w14:textId="77777777" w:rsidR="007811EB" w:rsidRDefault="007811EB">
      <w:pPr>
        <w:spacing w:after="0" w:line="240" w:lineRule="auto"/>
        <w:ind w:left="-142"/>
        <w:jc w:val="both"/>
        <w:rPr>
          <w:color w:val="7F7F7F"/>
          <w:sz w:val="18"/>
          <w:szCs w:val="18"/>
        </w:rPr>
      </w:pPr>
    </w:p>
    <w:p w14:paraId="6ECF52DC" w14:textId="77777777" w:rsidR="007811EB" w:rsidRDefault="00EF47A9">
      <w:pPr>
        <w:jc w:val="both"/>
        <w:rPr>
          <w:b/>
        </w:rPr>
      </w:pPr>
      <w:r>
        <w:rPr>
          <w:b/>
        </w:rPr>
        <w:t>Informação para prensa:</w:t>
      </w:r>
    </w:p>
    <w:p w14:paraId="22AAA641" w14:textId="77777777" w:rsidR="007811EB" w:rsidRDefault="00EF47A9">
      <w:pPr>
        <w:spacing w:after="0"/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Maria Carolina Corte Arce</w:t>
      </w:r>
    </w:p>
    <w:p w14:paraId="07B8C77C" w14:textId="77777777" w:rsidR="007811EB" w:rsidRDefault="00EF47A9">
      <w:pPr>
        <w:spacing w:after="0"/>
        <w:ind w:left="-142"/>
        <w:rPr>
          <w:sz w:val="18"/>
          <w:szCs w:val="18"/>
        </w:rPr>
      </w:pPr>
      <w:r>
        <w:rPr>
          <w:sz w:val="18"/>
          <w:szCs w:val="18"/>
        </w:rPr>
        <w:t>Diretora Global de Comunicações Externas</w:t>
      </w:r>
    </w:p>
    <w:p w14:paraId="56C9988B" w14:textId="77777777" w:rsidR="007811EB" w:rsidRDefault="00EF47A9">
      <w:pPr>
        <w:spacing w:after="0"/>
        <w:ind w:left="-142"/>
        <w:rPr>
          <w:sz w:val="18"/>
          <w:szCs w:val="18"/>
        </w:rPr>
      </w:pPr>
      <w:r>
        <w:rPr>
          <w:sz w:val="18"/>
          <w:szCs w:val="18"/>
        </w:rPr>
        <w:t>Celular: 57 3107778301</w:t>
      </w:r>
    </w:p>
    <w:p w14:paraId="0EEDE4B1" w14:textId="77777777" w:rsidR="007811EB" w:rsidRDefault="00EF47A9">
      <w:pPr>
        <w:spacing w:after="0"/>
        <w:ind w:left="-142"/>
        <w:rPr>
          <w:sz w:val="18"/>
          <w:szCs w:val="18"/>
        </w:rPr>
      </w:pPr>
      <w:hyperlink r:id="rId7">
        <w:r>
          <w:rPr>
            <w:sz w:val="18"/>
            <w:szCs w:val="18"/>
          </w:rPr>
          <w:t>carolina.cortes@avianca.com</w:t>
        </w:r>
      </w:hyperlink>
    </w:p>
    <w:p w14:paraId="576B05C2" w14:textId="77777777" w:rsidR="007811EB" w:rsidRDefault="007811EB">
      <w:pPr>
        <w:jc w:val="both"/>
      </w:pPr>
    </w:p>
    <w:p w14:paraId="3FC8CACE" w14:textId="77777777" w:rsidR="007811EB" w:rsidRDefault="00EF47A9">
      <w:pPr>
        <w:spacing w:after="0"/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Viviana Escobar</w:t>
      </w:r>
    </w:p>
    <w:p w14:paraId="151906D2" w14:textId="77777777" w:rsidR="007811EB" w:rsidRDefault="00EF47A9">
      <w:pPr>
        <w:spacing w:after="0"/>
        <w:ind w:left="-142"/>
        <w:rPr>
          <w:sz w:val="18"/>
          <w:szCs w:val="18"/>
        </w:rPr>
      </w:pPr>
      <w:r>
        <w:rPr>
          <w:sz w:val="18"/>
          <w:szCs w:val="18"/>
        </w:rPr>
        <w:t>Coordenadora Global de Meios Em massa</w:t>
      </w:r>
    </w:p>
    <w:p w14:paraId="7C2772CA" w14:textId="77777777" w:rsidR="007811EB" w:rsidRDefault="00EF47A9">
      <w:pPr>
        <w:spacing w:after="0"/>
        <w:ind w:left="-142"/>
        <w:rPr>
          <w:sz w:val="18"/>
          <w:szCs w:val="18"/>
        </w:rPr>
      </w:pPr>
      <w:r>
        <w:rPr>
          <w:sz w:val="18"/>
          <w:szCs w:val="18"/>
        </w:rPr>
        <w:t>Celular: 57 3134057311</w:t>
      </w:r>
    </w:p>
    <w:p w14:paraId="106B9AAF" w14:textId="77777777" w:rsidR="007811EB" w:rsidRDefault="00EF47A9">
      <w:pPr>
        <w:spacing w:after="0"/>
        <w:ind w:left="-142"/>
        <w:rPr>
          <w:sz w:val="18"/>
          <w:szCs w:val="18"/>
        </w:rPr>
      </w:pPr>
      <w:hyperlink r:id="rId8">
        <w:r>
          <w:rPr>
            <w:sz w:val="18"/>
            <w:szCs w:val="18"/>
          </w:rPr>
          <w:t>viviana.escobar@avianca.com</w:t>
        </w:r>
      </w:hyperlink>
    </w:p>
    <w:p w14:paraId="0B19E340" w14:textId="77777777" w:rsidR="007811EB" w:rsidRDefault="007811EB">
      <w:pPr>
        <w:spacing w:after="0"/>
        <w:ind w:left="-142"/>
        <w:rPr>
          <w:sz w:val="18"/>
          <w:szCs w:val="18"/>
        </w:rPr>
      </w:pPr>
    </w:p>
    <w:p w14:paraId="7B2FC026" w14:textId="77777777" w:rsidR="007811EB" w:rsidRDefault="007811EB">
      <w:pPr>
        <w:spacing w:after="0"/>
        <w:ind w:left="-142"/>
        <w:rPr>
          <w:sz w:val="18"/>
          <w:szCs w:val="18"/>
        </w:rPr>
      </w:pPr>
    </w:p>
    <w:sectPr w:rsidR="007811EB">
      <w:headerReference w:type="default" r:id="rId9"/>
      <w:footerReference w:type="default" r:id="rId10"/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C814C" w14:textId="77777777" w:rsidR="00EF47A9" w:rsidRDefault="00EF47A9">
      <w:pPr>
        <w:spacing w:after="0" w:line="240" w:lineRule="auto"/>
      </w:pPr>
      <w:r>
        <w:separator/>
      </w:r>
    </w:p>
  </w:endnote>
  <w:endnote w:type="continuationSeparator" w:id="0">
    <w:p w14:paraId="307B7E9B" w14:textId="77777777" w:rsidR="00EF47A9" w:rsidRDefault="00EF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8ED11" w14:textId="77777777" w:rsidR="007811EB" w:rsidRDefault="00EF47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74DAB">
      <w:rPr>
        <w:color w:val="000000"/>
      </w:rPr>
      <w:fldChar w:fldCharType="separate"/>
    </w:r>
    <w:r w:rsidR="00B74DAB">
      <w:rPr>
        <w:noProof/>
        <w:color w:val="000000"/>
      </w:rPr>
      <w:t>1</w:t>
    </w:r>
    <w:r>
      <w:rPr>
        <w:color w:val="000000"/>
      </w:rPr>
      <w:fldChar w:fldCharType="end"/>
    </w:r>
  </w:p>
  <w:p w14:paraId="57FB68E9" w14:textId="77777777" w:rsidR="007811EB" w:rsidRDefault="007811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09922" w14:textId="77777777" w:rsidR="00EF47A9" w:rsidRDefault="00EF47A9">
      <w:pPr>
        <w:spacing w:after="0" w:line="240" w:lineRule="auto"/>
      </w:pPr>
      <w:r>
        <w:separator/>
      </w:r>
    </w:p>
  </w:footnote>
  <w:footnote w:type="continuationSeparator" w:id="0">
    <w:p w14:paraId="41A89607" w14:textId="77777777" w:rsidR="00EF47A9" w:rsidRDefault="00EF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7467F" w14:textId="77777777" w:rsidR="007811EB" w:rsidRDefault="00EF47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CAD6ADD" wp14:editId="43E96F1C">
          <wp:simplePos x="0" y="0"/>
          <wp:positionH relativeFrom="column">
            <wp:posOffset>3522345</wp:posOffset>
          </wp:positionH>
          <wp:positionV relativeFrom="paragraph">
            <wp:posOffset>-95884</wp:posOffset>
          </wp:positionV>
          <wp:extent cx="2809875" cy="38100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9875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3EE3"/>
    <w:multiLevelType w:val="multilevel"/>
    <w:tmpl w:val="7232509C"/>
    <w:lvl w:ilvl="0">
      <w:start w:val="1"/>
      <w:numFmt w:val="bullet"/>
      <w:lvlText w:val="●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F9248A"/>
    <w:multiLevelType w:val="multilevel"/>
    <w:tmpl w:val="D9288F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3318C1"/>
    <w:multiLevelType w:val="multilevel"/>
    <w:tmpl w:val="940ADA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CE1491"/>
    <w:multiLevelType w:val="multilevel"/>
    <w:tmpl w:val="6A628A40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1A362E"/>
    <w:multiLevelType w:val="multilevel"/>
    <w:tmpl w:val="6D5845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144EAB"/>
    <w:multiLevelType w:val="multilevel"/>
    <w:tmpl w:val="92CE56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EB"/>
    <w:rsid w:val="00250034"/>
    <w:rsid w:val="007811EB"/>
    <w:rsid w:val="00B74DAB"/>
    <w:rsid w:val="00E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4212"/>
  <w15:docId w15:val="{D5F52B1B-53DC-4F56-A619-15ED3FDA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5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55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D6"/>
  </w:style>
  <w:style w:type="paragraph" w:styleId="Rodap">
    <w:name w:val="footer"/>
    <w:basedOn w:val="Normal"/>
    <w:link w:val="RodapChar"/>
    <w:uiPriority w:val="99"/>
    <w:unhideWhenUsed/>
    <w:rsid w:val="00055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BD6"/>
  </w:style>
  <w:style w:type="paragraph" w:styleId="PargrafodaLista">
    <w:name w:val="List Paragraph"/>
    <w:basedOn w:val="Normal"/>
    <w:uiPriority w:val="34"/>
    <w:qFormat/>
    <w:rsid w:val="0095051B"/>
    <w:pPr>
      <w:ind w:left="720"/>
      <w:contextualSpacing/>
    </w:pPr>
  </w:style>
  <w:style w:type="paragraph" w:customStyle="1" w:styleId="paragraph">
    <w:name w:val="paragraph"/>
    <w:basedOn w:val="Normal"/>
    <w:rsid w:val="003B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ontepargpadro"/>
    <w:rsid w:val="003B129C"/>
  </w:style>
  <w:style w:type="character" w:customStyle="1" w:styleId="eop">
    <w:name w:val="eop"/>
    <w:basedOn w:val="Fontepargpadro"/>
    <w:rsid w:val="003B129C"/>
  </w:style>
  <w:style w:type="character" w:customStyle="1" w:styleId="contextualspellingandgrammarerror">
    <w:name w:val="contextualspellingandgrammarerror"/>
    <w:basedOn w:val="Fontepargpadro"/>
    <w:rsid w:val="003B129C"/>
  </w:style>
  <w:style w:type="character" w:styleId="Hyperlink">
    <w:name w:val="Hyperlink"/>
    <w:basedOn w:val="Fontepargpadro"/>
    <w:uiPriority w:val="99"/>
    <w:unhideWhenUsed/>
    <w:rsid w:val="005956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Default">
    <w:name w:val="Default"/>
    <w:rsid w:val="00BA14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730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30D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30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30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30D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0DA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2A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2A7A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B1EE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ana.escobar@avianc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olina.cortes@avianc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1796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Camilo Franco Herrera</dc:creator>
  <cp:lastModifiedBy>Renan Barros</cp:lastModifiedBy>
  <cp:revision>2</cp:revision>
  <dcterms:created xsi:type="dcterms:W3CDTF">2019-08-22T01:51:00Z</dcterms:created>
  <dcterms:modified xsi:type="dcterms:W3CDTF">2019-08-22T01:51:00Z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0x0101006F3BA867505F8D44AC62D817E78CA7A0</vt:lpwstr>
  </property>
</Properties>
</file>